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Coon Rapids Cardinal Little League Gambling Budget.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June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Gambling budget for June 2025 will include the City of Coon Rapids required 7%. Nothing else out of the ordinary. Frank motion to accept the June 2025 budget. Chris seconded the motion and motion passed unanimously.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Maddie motioned to accept a $25,000 donation. Scott seconded the motion and motion pass unanimously.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